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7C88" w:rsidR="00F5250A" w:rsidP="00D10CAB" w:rsidRDefault="00420CA6" w14:paraId="2C078E63" w14:textId="37A30302">
      <w:pPr>
        <w:pStyle w:val="Heading1"/>
        <w:jc w:val="center"/>
        <w:rPr>
          <w:color w:val="E05206"/>
        </w:rPr>
      </w:pPr>
      <w:r>
        <w:rPr>
          <w:color w:val="E05206"/>
        </w:rPr>
        <w:t>Engineering</w:t>
      </w:r>
    </w:p>
    <w:p w:rsidR="00A46083" w:rsidP="00A46083" w:rsidRDefault="00A46083" w14:paraId="79271F32" w14:textId="77777777"/>
    <w:p w:rsidR="00087C88" w:rsidP="00D10CAB" w:rsidRDefault="00D10CAB" w14:paraId="124A2D26" w14:textId="18BF4519">
      <w:pPr>
        <w:pStyle w:val="Heading2"/>
      </w:pPr>
      <w:r>
        <w:t>Department Overview</w:t>
      </w:r>
    </w:p>
    <w:p w:rsidR="002608CA" w:rsidP="002608CA" w:rsidRDefault="00D8409A" w14:paraId="4F914B88" w14:textId="3161CBA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Langara offers two Engineering programs. The </w:t>
      </w:r>
      <w:hyperlink w:history="1" r:id="rId5">
        <w:r w:rsidRPr="00331FD1">
          <w:rPr>
            <w:rStyle w:val="Hyperlink"/>
            <w:rFonts w:eastAsiaTheme="minorEastAsia"/>
          </w:rPr>
          <w:t>Engineering Transfer Certificate</w:t>
        </w:r>
      </w:hyperlink>
      <w:r w:rsidR="00A84B76">
        <w:rPr>
          <w:rFonts w:eastAsiaTheme="minorEastAsia"/>
        </w:rPr>
        <w:t xml:space="preserve"> is a BCCAT-articulated program </w:t>
      </w:r>
      <w:r w:rsidR="003E604C">
        <w:rPr>
          <w:rFonts w:eastAsiaTheme="minorEastAsia"/>
        </w:rPr>
        <w:t xml:space="preserve">that offers courses </w:t>
      </w:r>
      <w:r w:rsidR="00942D13">
        <w:rPr>
          <w:rFonts w:eastAsiaTheme="minorEastAsia"/>
        </w:rPr>
        <w:t>to match</w:t>
      </w:r>
      <w:r w:rsidR="00A84B76">
        <w:rPr>
          <w:rFonts w:eastAsiaTheme="minorEastAsia"/>
        </w:rPr>
        <w:t xml:space="preserve"> the first year of en</w:t>
      </w:r>
      <w:r w:rsidR="003E604C">
        <w:rPr>
          <w:rFonts w:eastAsiaTheme="minorEastAsia"/>
        </w:rPr>
        <w:t>gineering study at the University of British Columbia.</w:t>
      </w:r>
      <w:r w:rsidR="005A61D6">
        <w:rPr>
          <w:rFonts w:eastAsiaTheme="minorEastAsia"/>
        </w:rPr>
        <w:t xml:space="preserve"> Those courses satisfy UBC’s Faculty of Applied Science requirements for engineering </w:t>
      </w:r>
      <w:r w:rsidR="00864F07">
        <w:rPr>
          <w:rFonts w:eastAsiaTheme="minorEastAsia"/>
        </w:rPr>
        <w:t>transfer classification when completed in the regular</w:t>
      </w:r>
      <w:r w:rsidR="0092520F">
        <w:rPr>
          <w:rFonts w:eastAsiaTheme="minorEastAsia"/>
        </w:rPr>
        <w:t>, tw</w:t>
      </w:r>
      <w:r w:rsidR="002573AE">
        <w:rPr>
          <w:rFonts w:eastAsiaTheme="minorEastAsia"/>
        </w:rPr>
        <w:t>o</w:t>
      </w:r>
      <w:r w:rsidR="0092520F">
        <w:rPr>
          <w:rFonts w:eastAsiaTheme="minorEastAsia"/>
        </w:rPr>
        <w:t xml:space="preserve">-semester academic year. The two-year </w:t>
      </w:r>
      <w:hyperlink w:history="1" r:id="rId6">
        <w:r w:rsidRPr="00331FD1" w:rsidR="0092520F">
          <w:rPr>
            <w:rStyle w:val="Hyperlink"/>
            <w:rFonts w:eastAsiaTheme="minorEastAsia"/>
          </w:rPr>
          <w:t>Applied Science for Engineering Diploma</w:t>
        </w:r>
      </w:hyperlink>
      <w:r w:rsidR="0092520F">
        <w:rPr>
          <w:rFonts w:eastAsiaTheme="minorEastAsia"/>
        </w:rPr>
        <w:t xml:space="preserve"> </w:t>
      </w:r>
      <w:r w:rsidR="002573AE">
        <w:rPr>
          <w:rFonts w:eastAsiaTheme="minorEastAsia"/>
        </w:rPr>
        <w:t xml:space="preserve">includes upgrading and preparatory courses </w:t>
      </w:r>
      <w:r w:rsidR="002608CA">
        <w:rPr>
          <w:rFonts w:eastAsiaTheme="minorEastAsia"/>
        </w:rPr>
        <w:t>and is aimed at</w:t>
      </w:r>
      <w:r w:rsidR="002573AE">
        <w:rPr>
          <w:rFonts w:eastAsiaTheme="minorEastAsia"/>
        </w:rPr>
        <w:t xml:space="preserve"> students who are interested in Engineering </w:t>
      </w:r>
      <w:r w:rsidR="00287D0E">
        <w:rPr>
          <w:rFonts w:eastAsiaTheme="minorEastAsia"/>
        </w:rPr>
        <w:t>but do not (or</w:t>
      </w:r>
      <w:r w:rsidR="002608CA">
        <w:rPr>
          <w:rFonts w:eastAsiaTheme="minorEastAsia"/>
        </w:rPr>
        <w:t xml:space="preserve"> only</w:t>
      </w:r>
      <w:r w:rsidR="00287D0E">
        <w:rPr>
          <w:rFonts w:eastAsiaTheme="minorEastAsia"/>
        </w:rPr>
        <w:t xml:space="preserve"> minimally) meet </w:t>
      </w:r>
      <w:r w:rsidR="002608CA">
        <w:rPr>
          <w:rFonts w:eastAsiaTheme="minorEastAsia"/>
        </w:rPr>
        <w:t>the Engineering Transfer prerequisites.</w:t>
      </w:r>
    </w:p>
    <w:p w:rsidRPr="002608CA" w:rsidR="002608CA" w:rsidP="002608CA" w:rsidRDefault="002608CA" w14:paraId="05E9C7A2" w14:textId="77777777">
      <w:pPr>
        <w:spacing w:after="0"/>
        <w:rPr>
          <w:rFonts w:eastAsiaTheme="minorEastAsia"/>
        </w:rPr>
      </w:pPr>
    </w:p>
    <w:p w:rsidR="00C50AB1" w:rsidP="003018A5" w:rsidRDefault="00C50AB1" w14:paraId="3F330AFB" w14:textId="5B89C682">
      <w:pPr>
        <w:pStyle w:val="Heading2"/>
      </w:pPr>
      <w:r>
        <w:t>Self-Study</w:t>
      </w:r>
    </w:p>
    <w:p w:rsidR="00C50AB1" w:rsidP="00F836F8" w:rsidRDefault="008E1080" w14:paraId="224B39F4" w14:textId="0D39C42F">
      <w:pPr>
        <w:spacing w:after="0"/>
      </w:pPr>
      <w:r>
        <w:t>Engineering</w:t>
      </w:r>
      <w:r w:rsidR="00EB5BBF">
        <w:t xml:space="preserve"> launched its program review in </w:t>
      </w:r>
      <w:r w:rsidR="00A814E0">
        <w:t xml:space="preserve">academic year </w:t>
      </w:r>
      <w:r w:rsidR="00990D14">
        <w:t>2019</w:t>
      </w:r>
      <w:r w:rsidR="001A0D26">
        <w:t>/20</w:t>
      </w:r>
      <w:r w:rsidR="006558AF">
        <w:t xml:space="preserve"> with a Self-Study. </w:t>
      </w:r>
      <w:r>
        <w:t>Csilla Tamas</w:t>
      </w:r>
      <w:r w:rsidR="00E3332F">
        <w:t xml:space="preserve">, </w:t>
      </w:r>
      <w:r w:rsidR="00B4332B">
        <w:t xml:space="preserve">the </w:t>
      </w:r>
      <w:r>
        <w:t>Engineering Coordinator</w:t>
      </w:r>
      <w:r w:rsidR="006C3B9D">
        <w:t>, was the primary Self-Study writer. Additional support was provided by:</w:t>
      </w:r>
    </w:p>
    <w:p w:rsidR="00F836F8" w:rsidP="00F836F8" w:rsidRDefault="001B154A" w14:paraId="34CBA25A" w14:textId="61EB0111">
      <w:pPr>
        <w:pStyle w:val="ListParagraph"/>
      </w:pPr>
      <w:r>
        <w:t>Robin</w:t>
      </w:r>
      <w:r w:rsidR="003722F8">
        <w:t xml:space="preserve"> Macqueen</w:t>
      </w:r>
      <w:r w:rsidR="00F836F8">
        <w:t xml:space="preserve"> (Division Chair</w:t>
      </w:r>
      <w:r w:rsidR="0037212D">
        <w:t xml:space="preserve">, </w:t>
      </w:r>
      <w:r w:rsidR="003722F8">
        <w:t>Applied Science</w:t>
      </w:r>
      <w:r w:rsidR="00F836F8">
        <w:t>)</w:t>
      </w:r>
    </w:p>
    <w:p w:rsidR="00F836F8" w:rsidP="00FB72FC" w:rsidRDefault="003722F8" w14:paraId="5EE37674" w14:textId="052061E0">
      <w:pPr>
        <w:pStyle w:val="ListParagraph"/>
        <w:rPr>
          <w:lang w:val="en-CA"/>
        </w:rPr>
      </w:pPr>
      <w:r>
        <w:t>Gerda Krause</w:t>
      </w:r>
      <w:r w:rsidR="0037212D">
        <w:t xml:space="preserve"> (Dean</w:t>
      </w:r>
      <w:r w:rsidR="00B1577F">
        <w:t xml:space="preserve">, </w:t>
      </w:r>
      <w:r w:rsidRPr="00FB72FC" w:rsidR="00FB72FC">
        <w:rPr>
          <w:lang w:val="en-CA"/>
        </w:rPr>
        <w:t xml:space="preserve">Faculty of </w:t>
      </w:r>
      <w:r>
        <w:rPr>
          <w:lang w:val="en-CA"/>
        </w:rPr>
        <w:t>Science</w:t>
      </w:r>
      <w:r w:rsidR="00FB72FC">
        <w:rPr>
          <w:lang w:val="en-CA"/>
        </w:rPr>
        <w:t>)</w:t>
      </w:r>
    </w:p>
    <w:p w:rsidR="007C7F4F" w:rsidP="00FB72FC" w:rsidRDefault="007C7F4F" w14:paraId="78C2185F" w14:textId="7458DE30">
      <w:pPr>
        <w:pStyle w:val="ListParagraph"/>
        <w:rPr>
          <w:lang w:val="en-CA"/>
        </w:rPr>
      </w:pPr>
      <w:r>
        <w:rPr>
          <w:lang w:val="en-CA"/>
        </w:rPr>
        <w:t>Sunita Wiebe (Director, Office of Academic Quality Assurance)</w:t>
      </w:r>
    </w:p>
    <w:p w:rsidRPr="00FB72FC" w:rsidR="007C7F4F" w:rsidP="00FB72FC" w:rsidRDefault="4585E27F" w14:paraId="091FB84F" w14:textId="1F7F814D">
      <w:pPr>
        <w:pStyle w:val="ListParagraph"/>
        <w:rPr>
          <w:lang w:val="en-CA"/>
        </w:rPr>
      </w:pPr>
      <w:r w:rsidRPr="2E13ADA9">
        <w:rPr>
          <w:lang w:val="en-CA"/>
        </w:rPr>
        <w:t>Institutional Research</w:t>
      </w:r>
      <w:r w:rsidRPr="2E13ADA9" w:rsidR="0EBC8A99">
        <w:rPr>
          <w:lang w:val="en-CA"/>
        </w:rPr>
        <w:t xml:space="preserve"> analysts</w:t>
      </w:r>
    </w:p>
    <w:p w:rsidR="0057775F" w:rsidP="00616ECF" w:rsidRDefault="0057775F" w14:paraId="7B395A39" w14:textId="520D5313">
      <w:pPr>
        <w:spacing w:after="0"/>
      </w:pPr>
      <w:r>
        <w:t>Data sources for the Self-Study included:</w:t>
      </w:r>
    </w:p>
    <w:p w:rsidR="0057775F" w:rsidP="003070C5" w:rsidRDefault="00A36EDA" w14:paraId="742B7E03" w14:textId="523999A4">
      <w:pPr>
        <w:pStyle w:val="ListParagraph"/>
      </w:pPr>
      <w:r>
        <w:t>Institutional Research-compiled s</w:t>
      </w:r>
      <w:r w:rsidR="00DB725C">
        <w:t>tudent administrative data (</w:t>
      </w:r>
      <w:r w:rsidRPr="00A36EDA" w:rsidR="0071087E">
        <w:rPr>
          <w:i/>
          <w:iCs/>
        </w:rPr>
        <w:t xml:space="preserve">e.g., </w:t>
      </w:r>
      <w:r w:rsidR="0071087E">
        <w:t xml:space="preserve">headcounts, retention, satisfaction) </w:t>
      </w:r>
    </w:p>
    <w:p w:rsidR="00A36EDA" w:rsidP="00DB725C" w:rsidRDefault="00A36EDA" w14:paraId="1AB558C1" w14:textId="0AE42705">
      <w:pPr>
        <w:pStyle w:val="ListParagraph"/>
      </w:pPr>
      <w:r>
        <w:t>Student survey</w:t>
      </w:r>
    </w:p>
    <w:p w:rsidR="00A36EDA" w:rsidP="00DB725C" w:rsidRDefault="00A36EDA" w14:paraId="07DD33AF" w14:textId="69C4BA73">
      <w:pPr>
        <w:pStyle w:val="ListParagraph"/>
      </w:pPr>
      <w:r>
        <w:t>Alumni survey</w:t>
      </w:r>
    </w:p>
    <w:p w:rsidR="00461216" w:rsidP="00DB725C" w:rsidRDefault="00461216" w14:paraId="3E48EE1F" w14:textId="6A394FF3">
      <w:pPr>
        <w:pStyle w:val="ListParagraph"/>
      </w:pPr>
      <w:r>
        <w:t>Faculty survey</w:t>
      </w:r>
    </w:p>
    <w:p w:rsidR="00FB72FC" w:rsidP="00A46083" w:rsidRDefault="000D74AD" w14:paraId="4127C3DC" w14:textId="252D50DF">
      <w:r>
        <w:t xml:space="preserve">The Self-Study was completed in </w:t>
      </w:r>
      <w:r w:rsidR="00C42645">
        <w:t>March</w:t>
      </w:r>
      <w:r w:rsidR="000B7D24">
        <w:t xml:space="preserve"> 2020</w:t>
      </w:r>
      <w:r w:rsidR="00087A87">
        <w:t>.</w:t>
      </w:r>
    </w:p>
    <w:p w:rsidR="00873CB5" w:rsidP="0071496B" w:rsidRDefault="00873CB5" w14:paraId="49AD960C" w14:textId="6C47E7BD">
      <w:pPr>
        <w:pStyle w:val="Heading2"/>
      </w:pPr>
      <w:r w:rsidRPr="0040304F">
        <w:t>External Review</w:t>
      </w:r>
    </w:p>
    <w:p w:rsidR="00A37AA0" w:rsidP="00616ECF" w:rsidRDefault="00AD789C" w14:paraId="18070C7C" w14:textId="0C7B535D">
      <w:pPr>
        <w:spacing w:after="0"/>
      </w:pPr>
      <w:r>
        <w:t>Engineering’s</w:t>
      </w:r>
      <w:r w:rsidR="006C6C1D">
        <w:t xml:space="preserve"> </w:t>
      </w:r>
      <w:r w:rsidR="00616ECF">
        <w:t xml:space="preserve">External Review took place on </w:t>
      </w:r>
      <w:r>
        <w:t>April 22</w:t>
      </w:r>
      <w:r w:rsidR="00616ECF">
        <w:t>, 20</w:t>
      </w:r>
      <w:r w:rsidR="009301DE">
        <w:t>20</w:t>
      </w:r>
      <w:r w:rsidR="00616ECF">
        <w:t xml:space="preserve">. The </w:t>
      </w:r>
      <w:r w:rsidR="003D4B3A">
        <w:t>External Review Team consisted of:</w:t>
      </w:r>
      <w:r w:rsidR="00616ECF">
        <w:t xml:space="preserve"> </w:t>
      </w:r>
    </w:p>
    <w:p w:rsidR="00BE10FA" w:rsidP="0016738B" w:rsidRDefault="00AD789C" w14:paraId="63FED43E" w14:textId="282BB3B8">
      <w:pPr>
        <w:pStyle w:val="ListParagraph"/>
      </w:pPr>
      <w:r>
        <w:t>Brian Dick, PhD</w:t>
      </w:r>
      <w:r w:rsidR="00E910B6">
        <w:t xml:space="preserve">, </w:t>
      </w:r>
      <w:r w:rsidR="00D35540">
        <w:t>Physics, Engineering and Astronomy, Vancouver Island University</w:t>
      </w:r>
      <w:r w:rsidR="00623A71">
        <w:t xml:space="preserve"> </w:t>
      </w:r>
      <w:r w:rsidR="00BD6CAA">
        <w:t>(External Review Chair)</w:t>
      </w:r>
    </w:p>
    <w:p w:rsidR="00BD6CAA" w:rsidP="0016738B" w:rsidRDefault="00D35540" w14:paraId="05BE0D0A" w14:textId="755A66EE">
      <w:pPr>
        <w:pStyle w:val="ListParagraph"/>
      </w:pPr>
      <w:r>
        <w:t xml:space="preserve">Atousa </w:t>
      </w:r>
      <w:r w:rsidRPr="00623A71" w:rsidR="00623A71">
        <w:t>Hajshirmohammadi</w:t>
      </w:r>
      <w:r w:rsidRPr="00BD6CAA" w:rsidR="00BD6CAA">
        <w:t xml:space="preserve">, </w:t>
      </w:r>
      <w:r w:rsidR="00623A71">
        <w:t>Engineering Science, Simon Fraser University</w:t>
      </w:r>
    </w:p>
    <w:p w:rsidR="00BD6CAA" w:rsidP="0016738B" w:rsidRDefault="00623A71" w14:paraId="557954B0" w14:textId="318EECD0">
      <w:pPr>
        <w:pStyle w:val="ListParagraph"/>
      </w:pPr>
      <w:r>
        <w:t>Kathryn Nairne, Applied Planning, Langara</w:t>
      </w:r>
    </w:p>
    <w:p w:rsidR="00C17013" w:rsidP="00C17013" w:rsidRDefault="00C17013" w14:paraId="6B349A00" w14:textId="6E425259">
      <w:pPr>
        <w:pStyle w:val="Heading2"/>
      </w:pPr>
      <w:r w:rsidRPr="001012CD">
        <w:t>Action Plan Goals</w:t>
      </w:r>
    </w:p>
    <w:p w:rsidR="00A37AA0" w:rsidP="00A46083" w:rsidRDefault="005F11D9" w14:paraId="23F0A80C" w14:textId="6A0C35E6">
      <w:r>
        <w:t xml:space="preserve">In response to the Self-Study and External Review, </w:t>
      </w:r>
      <w:r w:rsidR="00B9480D">
        <w:t>Engineering</w:t>
      </w:r>
      <w:r w:rsidR="008B7314">
        <w:t xml:space="preserve"> created an Action Plan</w:t>
      </w:r>
      <w:r w:rsidR="00BA384C">
        <w:t xml:space="preserve"> with </w:t>
      </w:r>
      <w:r w:rsidR="0040304F">
        <w:t>these</w:t>
      </w:r>
      <w:r w:rsidR="00BA384C">
        <w:t xml:space="preserve"> goals:</w:t>
      </w:r>
    </w:p>
    <w:p w:rsidR="00BA384C" w:rsidP="00B76B42" w:rsidRDefault="00B76B42" w14:paraId="4B04B69E" w14:textId="1F16A025">
      <w:pPr>
        <w:pStyle w:val="ListParagraph"/>
      </w:pPr>
      <w:r>
        <w:t xml:space="preserve">Goal 1: </w:t>
      </w:r>
      <w:r w:rsidR="00B9480D">
        <w:t>Enhance student pathways (transfers/articulation) and curriculum</w:t>
      </w:r>
      <w:r>
        <w:t>.</w:t>
      </w:r>
    </w:p>
    <w:p w:rsidR="00B76B42" w:rsidP="00B76B42" w:rsidRDefault="002C1790" w14:paraId="150B91DC" w14:textId="41D9B6B7">
      <w:pPr>
        <w:pStyle w:val="ListParagraph"/>
      </w:pPr>
      <w:r>
        <w:t xml:space="preserve">Goal 2: </w:t>
      </w:r>
      <w:r w:rsidR="000C6BBB">
        <w:t>Establish and enhance external connections</w:t>
      </w:r>
      <w:r w:rsidR="00092A01">
        <w:t>.</w:t>
      </w:r>
    </w:p>
    <w:p w:rsidR="002C1790" w:rsidP="00B76B42" w:rsidRDefault="002C1790" w14:paraId="16A92805" w14:textId="71F8C04E">
      <w:pPr>
        <w:pStyle w:val="ListParagraph"/>
      </w:pPr>
      <w:r>
        <w:t xml:space="preserve">Goal 3: </w:t>
      </w:r>
      <w:r w:rsidR="000C6BBB">
        <w:t>Enhancing the student recruiting process and student engagement/experience</w:t>
      </w:r>
      <w:r w:rsidR="00F44230">
        <w:t>.</w:t>
      </w:r>
    </w:p>
    <w:p w:rsidR="00A419D8" w:rsidP="00B76B42" w:rsidRDefault="00A419D8" w14:paraId="6628FAA1" w14:textId="694FD113">
      <w:pPr>
        <w:pStyle w:val="ListParagraph"/>
      </w:pPr>
      <w:r>
        <w:t xml:space="preserve">Goal 4: </w:t>
      </w:r>
      <w:r w:rsidR="00897CA1">
        <w:t>Creating community and identity within the engineering cohort and its instructors</w:t>
      </w:r>
      <w:r>
        <w:t>.</w:t>
      </w:r>
    </w:p>
    <w:p w:rsidR="00AB6AD5" w:rsidP="00F6561C" w:rsidRDefault="00F6561C" w14:paraId="09D8062D" w14:textId="7D59DAB7">
      <w:pPr>
        <w:pStyle w:val="Heading2"/>
      </w:pPr>
      <w:r>
        <w:lastRenderedPageBreak/>
        <w:t>Examples of Post-Review Successes</w:t>
      </w:r>
    </w:p>
    <w:p w:rsidR="00E70D7E" w:rsidP="00E70D7E" w:rsidRDefault="00120191" w14:paraId="05816C67" w14:textId="11D32A4F">
      <w:r w:rsidR="00120191">
        <w:rPr/>
        <w:t>Curriculum mapping is underway</w:t>
      </w:r>
      <w:r w:rsidR="00524E0D">
        <w:rPr/>
        <w:t xml:space="preserve">. </w:t>
      </w:r>
      <w:r w:rsidR="00067EFE">
        <w:rPr/>
        <w:t>CPSC 1091</w:t>
      </w:r>
      <w:r w:rsidR="00067EFE">
        <w:rPr/>
        <w:t>:</w:t>
      </w:r>
      <w:r w:rsidR="0055762F">
        <w:rPr/>
        <w:t xml:space="preserve"> </w:t>
      </w:r>
      <w:r w:rsidR="001337D8">
        <w:rPr/>
        <w:t>Engineering</w:t>
      </w:r>
      <w:r w:rsidR="001337D8">
        <w:rPr/>
        <w:t xml:space="preserve"> Design and Drafting, and </w:t>
      </w:r>
      <w:r w:rsidR="004F694B">
        <w:rPr/>
        <w:t>CPSC 1491: Control Systems and Sustainable Engineering Design</w:t>
      </w:r>
      <w:r w:rsidR="00201E5E">
        <w:rPr/>
        <w:t xml:space="preserve"> have been articulated to the universities. The Engineering Transfer</w:t>
      </w:r>
      <w:r w:rsidR="00D45C3D">
        <w:rPr/>
        <w:t xml:space="preserve"> Certificate courses are now aligned with the Common First-Year Engineering curriculum.</w:t>
      </w:r>
    </w:p>
    <w:p w:rsidRPr="00E70D7E" w:rsidR="00EF4865" w:rsidP="00E70D7E" w:rsidRDefault="00887F29" w14:paraId="2CA44E2A" w14:textId="64FC1DA6">
      <w:r>
        <w:t xml:space="preserve">Engineering Career talks take place on a semi-annual basis with diverse speakers. </w:t>
      </w:r>
      <w:r w:rsidR="00234DE4">
        <w:t xml:space="preserve">Tri-mentoring pilot programs for female engineering students </w:t>
      </w:r>
      <w:r w:rsidR="001012CD">
        <w:t>have been run successfully.</w:t>
      </w:r>
    </w:p>
    <w:sectPr w:rsidRPr="00E70D7E" w:rsidR="00EF4865" w:rsidSect="00F906C6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7B"/>
    <w:multiLevelType w:val="hybridMultilevel"/>
    <w:tmpl w:val="5ADC2ED8"/>
    <w:lvl w:ilvl="0" w:tplc="D6E487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6B026DBA"/>
    <w:multiLevelType w:val="hybridMultilevel"/>
    <w:tmpl w:val="878EE986"/>
    <w:lvl w:ilvl="0" w:tplc="DEBC5B60">
      <w:start w:val="1"/>
      <w:numFmt w:val="bullet"/>
      <w:lvlText w:val=""/>
      <w:lvlJc w:val="left"/>
      <w:pPr>
        <w:ind w:left="576" w:hanging="144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FDB61FE"/>
    <w:multiLevelType w:val="hybridMultilevel"/>
    <w:tmpl w:val="E53601A6"/>
    <w:lvl w:ilvl="0" w:tplc="E9D636B2">
      <w:start w:val="1"/>
      <w:numFmt w:val="bullet"/>
      <w:pStyle w:val="ListParagraph"/>
      <w:lvlText w:val=""/>
      <w:lvlJc w:val="left"/>
      <w:pPr>
        <w:ind w:left="576" w:hanging="288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B1E7AC4"/>
    <w:multiLevelType w:val="hybridMultilevel"/>
    <w:tmpl w:val="763E8290"/>
    <w:lvl w:ilvl="0" w:tplc="1AC8D34C">
      <w:start w:val="1"/>
      <w:numFmt w:val="bullet"/>
      <w:lvlText w:val=""/>
      <w:lvlJc w:val="left"/>
      <w:pPr>
        <w:ind w:left="432" w:hanging="144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004940660">
    <w:abstractNumId w:val="0"/>
  </w:num>
  <w:num w:numId="2" w16cid:durableId="1283801921">
    <w:abstractNumId w:val="1"/>
  </w:num>
  <w:num w:numId="3" w16cid:durableId="352999246">
    <w:abstractNumId w:val="3"/>
  </w:num>
  <w:num w:numId="4" w16cid:durableId="15954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27028A"/>
    <w:rsid w:val="00007F79"/>
    <w:rsid w:val="00032727"/>
    <w:rsid w:val="00062437"/>
    <w:rsid w:val="000666A6"/>
    <w:rsid w:val="00067EFE"/>
    <w:rsid w:val="00077E6F"/>
    <w:rsid w:val="00085399"/>
    <w:rsid w:val="00087A87"/>
    <w:rsid w:val="00087C88"/>
    <w:rsid w:val="00092A01"/>
    <w:rsid w:val="00092CF9"/>
    <w:rsid w:val="000A3077"/>
    <w:rsid w:val="000B7D24"/>
    <w:rsid w:val="000C03B4"/>
    <w:rsid w:val="000C6BBB"/>
    <w:rsid w:val="000D2149"/>
    <w:rsid w:val="000D74AD"/>
    <w:rsid w:val="000E58B4"/>
    <w:rsid w:val="001012CD"/>
    <w:rsid w:val="00120191"/>
    <w:rsid w:val="001337D8"/>
    <w:rsid w:val="0016644E"/>
    <w:rsid w:val="0016738B"/>
    <w:rsid w:val="001833B0"/>
    <w:rsid w:val="001A0D26"/>
    <w:rsid w:val="001A5123"/>
    <w:rsid w:val="001A7387"/>
    <w:rsid w:val="001B154A"/>
    <w:rsid w:val="001B25BA"/>
    <w:rsid w:val="001E7D57"/>
    <w:rsid w:val="00201E5E"/>
    <w:rsid w:val="002201EB"/>
    <w:rsid w:val="00234DE4"/>
    <w:rsid w:val="00252080"/>
    <w:rsid w:val="002573AE"/>
    <w:rsid w:val="002608CA"/>
    <w:rsid w:val="002673BB"/>
    <w:rsid w:val="002750C4"/>
    <w:rsid w:val="00287D0E"/>
    <w:rsid w:val="002C1790"/>
    <w:rsid w:val="002C5357"/>
    <w:rsid w:val="003018A5"/>
    <w:rsid w:val="00331FD1"/>
    <w:rsid w:val="0033265E"/>
    <w:rsid w:val="00341B49"/>
    <w:rsid w:val="003531E8"/>
    <w:rsid w:val="00370722"/>
    <w:rsid w:val="0037212D"/>
    <w:rsid w:val="003722F8"/>
    <w:rsid w:val="0039208B"/>
    <w:rsid w:val="003922C3"/>
    <w:rsid w:val="003B554A"/>
    <w:rsid w:val="003D4B3A"/>
    <w:rsid w:val="003E604C"/>
    <w:rsid w:val="0040205F"/>
    <w:rsid w:val="0040304F"/>
    <w:rsid w:val="00406D71"/>
    <w:rsid w:val="00407C6C"/>
    <w:rsid w:val="00420CA6"/>
    <w:rsid w:val="00461216"/>
    <w:rsid w:val="00480688"/>
    <w:rsid w:val="004A55D5"/>
    <w:rsid w:val="004B6106"/>
    <w:rsid w:val="004C5F61"/>
    <w:rsid w:val="004F694B"/>
    <w:rsid w:val="00510E14"/>
    <w:rsid w:val="00524E0D"/>
    <w:rsid w:val="00532F3C"/>
    <w:rsid w:val="0055762F"/>
    <w:rsid w:val="00560F84"/>
    <w:rsid w:val="00575C5D"/>
    <w:rsid w:val="0057775F"/>
    <w:rsid w:val="005A5923"/>
    <w:rsid w:val="005A61D6"/>
    <w:rsid w:val="005A6DBE"/>
    <w:rsid w:val="005E4895"/>
    <w:rsid w:val="005F09B7"/>
    <w:rsid w:val="005F11D9"/>
    <w:rsid w:val="00616ECF"/>
    <w:rsid w:val="00617C7D"/>
    <w:rsid w:val="00622B24"/>
    <w:rsid w:val="00623A71"/>
    <w:rsid w:val="00626261"/>
    <w:rsid w:val="00642EB2"/>
    <w:rsid w:val="006518D1"/>
    <w:rsid w:val="006558AF"/>
    <w:rsid w:val="006846BC"/>
    <w:rsid w:val="006C3B9D"/>
    <w:rsid w:val="006C6C1D"/>
    <w:rsid w:val="006E45BE"/>
    <w:rsid w:val="00710842"/>
    <w:rsid w:val="0071087E"/>
    <w:rsid w:val="00711575"/>
    <w:rsid w:val="0071496B"/>
    <w:rsid w:val="00730AF4"/>
    <w:rsid w:val="00731B0E"/>
    <w:rsid w:val="007364D9"/>
    <w:rsid w:val="0074178F"/>
    <w:rsid w:val="00772F97"/>
    <w:rsid w:val="00782C27"/>
    <w:rsid w:val="007A0592"/>
    <w:rsid w:val="007C7F4F"/>
    <w:rsid w:val="00822DD0"/>
    <w:rsid w:val="00864F07"/>
    <w:rsid w:val="00870A2F"/>
    <w:rsid w:val="00873CB5"/>
    <w:rsid w:val="00886241"/>
    <w:rsid w:val="00887F29"/>
    <w:rsid w:val="00897CA1"/>
    <w:rsid w:val="008B7314"/>
    <w:rsid w:val="008E1080"/>
    <w:rsid w:val="008F6D8C"/>
    <w:rsid w:val="0092520F"/>
    <w:rsid w:val="009301DE"/>
    <w:rsid w:val="0093280B"/>
    <w:rsid w:val="00942D13"/>
    <w:rsid w:val="00957C55"/>
    <w:rsid w:val="00972B71"/>
    <w:rsid w:val="00990D14"/>
    <w:rsid w:val="009C20E6"/>
    <w:rsid w:val="009D4B9E"/>
    <w:rsid w:val="00A36EDA"/>
    <w:rsid w:val="00A37AA0"/>
    <w:rsid w:val="00A419D8"/>
    <w:rsid w:val="00A46083"/>
    <w:rsid w:val="00A57E1C"/>
    <w:rsid w:val="00A6245E"/>
    <w:rsid w:val="00A721B3"/>
    <w:rsid w:val="00A814E0"/>
    <w:rsid w:val="00A84B76"/>
    <w:rsid w:val="00A90E7A"/>
    <w:rsid w:val="00AB6AD5"/>
    <w:rsid w:val="00AC6720"/>
    <w:rsid w:val="00AD789C"/>
    <w:rsid w:val="00AE3079"/>
    <w:rsid w:val="00B1577F"/>
    <w:rsid w:val="00B4332B"/>
    <w:rsid w:val="00B505E6"/>
    <w:rsid w:val="00B56DDD"/>
    <w:rsid w:val="00B67648"/>
    <w:rsid w:val="00B76B42"/>
    <w:rsid w:val="00B922E7"/>
    <w:rsid w:val="00B9480D"/>
    <w:rsid w:val="00BA384C"/>
    <w:rsid w:val="00BC38E1"/>
    <w:rsid w:val="00BD11B5"/>
    <w:rsid w:val="00BD6CAA"/>
    <w:rsid w:val="00BE10FA"/>
    <w:rsid w:val="00C17013"/>
    <w:rsid w:val="00C20920"/>
    <w:rsid w:val="00C42645"/>
    <w:rsid w:val="00C50AB1"/>
    <w:rsid w:val="00C531A4"/>
    <w:rsid w:val="00C701FB"/>
    <w:rsid w:val="00C841A6"/>
    <w:rsid w:val="00CF5DA3"/>
    <w:rsid w:val="00D10CAB"/>
    <w:rsid w:val="00D27F6B"/>
    <w:rsid w:val="00D35540"/>
    <w:rsid w:val="00D45C3D"/>
    <w:rsid w:val="00D8409A"/>
    <w:rsid w:val="00DB462D"/>
    <w:rsid w:val="00DB707D"/>
    <w:rsid w:val="00DB725C"/>
    <w:rsid w:val="00DD6D93"/>
    <w:rsid w:val="00E04566"/>
    <w:rsid w:val="00E3332F"/>
    <w:rsid w:val="00E44DBA"/>
    <w:rsid w:val="00E572AD"/>
    <w:rsid w:val="00E64EF8"/>
    <w:rsid w:val="00E70D7E"/>
    <w:rsid w:val="00E871A9"/>
    <w:rsid w:val="00E90115"/>
    <w:rsid w:val="00E910B6"/>
    <w:rsid w:val="00EA50C5"/>
    <w:rsid w:val="00EB5BBF"/>
    <w:rsid w:val="00EE74A7"/>
    <w:rsid w:val="00EF4865"/>
    <w:rsid w:val="00F10E9D"/>
    <w:rsid w:val="00F3682D"/>
    <w:rsid w:val="00F44230"/>
    <w:rsid w:val="00F5250A"/>
    <w:rsid w:val="00F56270"/>
    <w:rsid w:val="00F6561C"/>
    <w:rsid w:val="00F6691A"/>
    <w:rsid w:val="00F836F8"/>
    <w:rsid w:val="00F906C6"/>
    <w:rsid w:val="00F9156C"/>
    <w:rsid w:val="00FB72FC"/>
    <w:rsid w:val="029EC09A"/>
    <w:rsid w:val="0DF7B895"/>
    <w:rsid w:val="0E5C5157"/>
    <w:rsid w:val="0EBC8A99"/>
    <w:rsid w:val="13283EB6"/>
    <w:rsid w:val="1827028A"/>
    <w:rsid w:val="182E6AB7"/>
    <w:rsid w:val="1F198FCB"/>
    <w:rsid w:val="1F9EE55B"/>
    <w:rsid w:val="1FB850EA"/>
    <w:rsid w:val="1FDA7168"/>
    <w:rsid w:val="2B1AC3C8"/>
    <w:rsid w:val="2B4D9393"/>
    <w:rsid w:val="2CDB7A2C"/>
    <w:rsid w:val="2E13ADA9"/>
    <w:rsid w:val="2EA545FC"/>
    <w:rsid w:val="31AEFED6"/>
    <w:rsid w:val="361EC202"/>
    <w:rsid w:val="430E9799"/>
    <w:rsid w:val="43660C47"/>
    <w:rsid w:val="4585E27F"/>
    <w:rsid w:val="47E36121"/>
    <w:rsid w:val="49465508"/>
    <w:rsid w:val="4D7EC1E6"/>
    <w:rsid w:val="519C7699"/>
    <w:rsid w:val="56E144B5"/>
    <w:rsid w:val="5CD2E323"/>
    <w:rsid w:val="61158A92"/>
    <w:rsid w:val="6508BB31"/>
    <w:rsid w:val="68CAB29B"/>
    <w:rsid w:val="6CDF649A"/>
    <w:rsid w:val="72D715BC"/>
    <w:rsid w:val="74FFB9BE"/>
    <w:rsid w:val="799325D3"/>
    <w:rsid w:val="7A33F234"/>
    <w:rsid w:val="7BFAF9AF"/>
    <w:rsid w:val="7D96C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028A"/>
  <w15:chartTrackingRefBased/>
  <w15:docId w15:val="{67560FCA-366F-459A-B93A-C0B9286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64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CA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05206"/>
      <w:sz w:val="26"/>
      <w:szCs w:val="26"/>
      <w:u w:val="singl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6764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57C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21B3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D10CAB"/>
    <w:rPr>
      <w:rFonts w:asciiTheme="majorHAnsi" w:hAnsiTheme="majorHAnsi" w:eastAsiaTheme="majorEastAsia" w:cstheme="majorBidi"/>
      <w:color w:val="E05206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836F8"/>
    <w:pPr>
      <w:numPr>
        <w:numId w:val="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angara.ca/programs-and-courses/programs/applied-science-for-engineering/" TargetMode="External" Id="rId6" /><Relationship Type="http://schemas.openxmlformats.org/officeDocument/2006/relationships/hyperlink" Target="https://langara.ca/programs-and-courses/programs/engineering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Sunita Wiebe</dc:creator>
  <keywords/>
  <dc:description/>
  <lastModifiedBy>Sunita Wiebe</lastModifiedBy>
  <revision>82</revision>
  <dcterms:created xsi:type="dcterms:W3CDTF">2023-05-31T21:11:00.0000000Z</dcterms:created>
  <dcterms:modified xsi:type="dcterms:W3CDTF">2023-06-02T17:36:08.4843809Z</dcterms:modified>
</coreProperties>
</file>